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  <w:t xml:space="preserve">Arvutiteaduse instituudi (ATI) logo igast küljest peab jääma ühe logol oleva majakese kõrguse jagu vaba ruumi (kaitstud ala). Vt ka: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https://stiiliraamat.ut.ee/logod/#logo-kaitstud-ala</w:t>
        </w:r>
      </w:hyperlink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Organisatsiooni võiks nimetada: </w:t>
      </w:r>
      <w:r w:rsidDel="00000000" w:rsidR="00000000" w:rsidRPr="00000000">
        <w:rPr>
          <w:b w:val="1"/>
          <w:rtl w:val="0"/>
        </w:rPr>
        <w:t xml:space="preserve">Tartu Ülikooli arvutiteaduse instituut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  <w:t xml:space="preserve">CGVR õppelabor on pikalt: </w:t>
      </w:r>
      <w:r w:rsidDel="00000000" w:rsidR="00000000" w:rsidRPr="00000000">
        <w:rPr>
          <w:b w:val="1"/>
          <w:rtl w:val="0"/>
        </w:rPr>
        <w:t xml:space="preserve">Tartu Ülikooli arvutiteaduse instituudi arvutigraafika ja virtuaalreaalsuse õppelabor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after="200" w:line="36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stiiliraamat.ut.ee/logod/#logo-kaitstud-al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